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B502D" w14:textId="77777777" w:rsidR="007641B4" w:rsidRDefault="007641B4" w:rsidP="00F8657C">
      <w:pPr>
        <w:pStyle w:val="Heading1"/>
      </w:pPr>
      <w:r>
        <w:t>East Devon District Council</w:t>
      </w:r>
    </w:p>
    <w:p w14:paraId="735FA304" w14:textId="3D8F63CD" w:rsidR="007641B4" w:rsidRDefault="00E15297" w:rsidP="007641B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Discretionary Rate relief for Partly Occupied Premises</w:t>
      </w:r>
    </w:p>
    <w:p w14:paraId="3DF0802E" w14:textId="77777777" w:rsidR="007641B4" w:rsidRDefault="007641B4" w:rsidP="007641B4">
      <w:pPr>
        <w:rPr>
          <w:rFonts w:ascii="Arial" w:hAnsi="Arial" w:cs="Arial"/>
          <w:b/>
        </w:rPr>
      </w:pPr>
    </w:p>
    <w:p w14:paraId="1FE57833" w14:textId="77777777" w:rsidR="007641B4" w:rsidRDefault="007641B4" w:rsidP="007641B4">
      <w:pPr>
        <w:rPr>
          <w:rFonts w:ascii="Arial" w:hAnsi="Arial" w:cs="Arial"/>
          <w:b/>
        </w:rPr>
      </w:pPr>
    </w:p>
    <w:p w14:paraId="41410D9A" w14:textId="77777777" w:rsidR="007641B4" w:rsidRPr="00F8657C" w:rsidRDefault="007641B4" w:rsidP="00F8657C">
      <w:pPr>
        <w:pStyle w:val="Heading2"/>
      </w:pPr>
      <w:r w:rsidRPr="00F8657C">
        <w:t>1</w:t>
      </w:r>
      <w:r w:rsidRPr="00F8657C">
        <w:tab/>
        <w:t>Why has the council introduced this policy?</w:t>
      </w:r>
    </w:p>
    <w:p w14:paraId="2BB88F60" w14:textId="77777777" w:rsidR="00E15297" w:rsidRDefault="00E15297" w:rsidP="00E15297">
      <w:pPr>
        <w:ind w:left="720" w:hanging="720"/>
        <w:rPr>
          <w:rFonts w:ascii="Arial" w:hAnsi="Arial" w:cs="Arial"/>
        </w:rPr>
      </w:pPr>
    </w:p>
    <w:p w14:paraId="3B5851F1" w14:textId="684C9721" w:rsidR="00E15297" w:rsidRDefault="00E15297" w:rsidP="00E1529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>
        <w:rPr>
          <w:rFonts w:ascii="Arial" w:hAnsi="Arial" w:cs="Arial"/>
        </w:rPr>
        <w:tab/>
        <w:t>This policy sets out the criteria, the conditions that need to be met and the type of information to be provided when a ratepayer applies for a reduction in their rates bill due to part occupation.</w:t>
      </w:r>
    </w:p>
    <w:p w14:paraId="464C539B" w14:textId="77777777" w:rsidR="00E15297" w:rsidRDefault="00E15297" w:rsidP="00E15297">
      <w:pPr>
        <w:ind w:left="720" w:hanging="720"/>
        <w:rPr>
          <w:rFonts w:ascii="Arial" w:hAnsi="Arial" w:cs="Arial"/>
        </w:rPr>
      </w:pPr>
    </w:p>
    <w:p w14:paraId="79303EF7" w14:textId="04D77D9D" w:rsidR="00E15297" w:rsidRDefault="00E15297" w:rsidP="00E1529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1.2 </w:t>
      </w:r>
      <w:r>
        <w:rPr>
          <w:rFonts w:ascii="Arial" w:hAnsi="Arial" w:cs="Arial"/>
        </w:rPr>
        <w:tab/>
        <w:t xml:space="preserve">Section 44A of the Local Government Finance Act 1988 gives the </w:t>
      </w:r>
      <w:proofErr w:type="gramStart"/>
      <w:r>
        <w:rPr>
          <w:rFonts w:ascii="Arial" w:hAnsi="Arial" w:cs="Arial"/>
        </w:rPr>
        <w:t>Council  discretionary</w:t>
      </w:r>
      <w:proofErr w:type="gramEnd"/>
      <w:r>
        <w:rPr>
          <w:rFonts w:ascii="Arial" w:hAnsi="Arial" w:cs="Arial"/>
        </w:rPr>
        <w:t xml:space="preserve"> powers to require the Valuation Officer to apportion the rateable value of a property between the occupied and unoccupied parts where it appears to the Council  that part of it is unoccupied but will remain so for a short time only.  This is a discretionary provision, and full rates will remain payable on a partly occupied property if the </w:t>
      </w:r>
      <w:proofErr w:type="gramStart"/>
      <w:r>
        <w:rPr>
          <w:rFonts w:ascii="Arial" w:hAnsi="Arial" w:cs="Arial"/>
        </w:rPr>
        <w:t>Council  chooses</w:t>
      </w:r>
      <w:proofErr w:type="gramEnd"/>
      <w:r>
        <w:rPr>
          <w:rFonts w:ascii="Arial" w:hAnsi="Arial" w:cs="Arial"/>
        </w:rPr>
        <w:t xml:space="preserve"> not to exercise its power in this respect. </w:t>
      </w:r>
    </w:p>
    <w:p w14:paraId="4AEC8BE1" w14:textId="77777777" w:rsidR="00E15297" w:rsidRDefault="00E15297" w:rsidP="00E15297">
      <w:pPr>
        <w:ind w:left="720" w:hanging="720"/>
        <w:rPr>
          <w:rFonts w:ascii="Arial" w:hAnsi="Arial" w:cs="Arial"/>
        </w:rPr>
      </w:pPr>
    </w:p>
    <w:p w14:paraId="6FBF2435" w14:textId="37C125B0" w:rsidR="00E15297" w:rsidRDefault="00E15297" w:rsidP="00E1529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1.3</w:t>
      </w:r>
      <w:r>
        <w:rPr>
          <w:rFonts w:ascii="Arial" w:hAnsi="Arial" w:cs="Arial"/>
        </w:rPr>
        <w:tab/>
        <w:t>The purposes of this policy is to:</w:t>
      </w:r>
    </w:p>
    <w:p w14:paraId="12DCED8F" w14:textId="77777777" w:rsidR="00E15297" w:rsidRDefault="00E15297" w:rsidP="00E15297">
      <w:pPr>
        <w:ind w:left="720" w:hanging="720"/>
        <w:rPr>
          <w:rFonts w:ascii="Arial" w:hAnsi="Arial" w:cs="Arial"/>
        </w:rPr>
      </w:pPr>
    </w:p>
    <w:p w14:paraId="4092346E" w14:textId="77777777" w:rsidR="00E15297" w:rsidRDefault="00E15297" w:rsidP="00E1529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Ensure that all ratepayers making application for this discretionary rate relief are treated in a fair, consistent and equal manner.</w:t>
      </w:r>
    </w:p>
    <w:p w14:paraId="43F2439E" w14:textId="77777777" w:rsidR="00E15297" w:rsidRDefault="00E15297" w:rsidP="00E1529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Set a framework for how ratepayers can apply for this relief</w:t>
      </w:r>
    </w:p>
    <w:p w14:paraId="4018CE34" w14:textId="77777777" w:rsidR="00E15297" w:rsidRDefault="00E15297" w:rsidP="00E1529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Make clear the limited criteria under which relief will be awarded</w:t>
      </w:r>
    </w:p>
    <w:p w14:paraId="12AB7783" w14:textId="77777777" w:rsidR="00E15297" w:rsidRPr="00DD711D" w:rsidRDefault="00E15297" w:rsidP="00E15297">
      <w:pPr>
        <w:numPr>
          <w:ilvl w:val="0"/>
          <w:numId w:val="4"/>
        </w:numPr>
        <w:rPr>
          <w:rFonts w:ascii="Arial" w:hAnsi="Arial" w:cs="Arial"/>
        </w:rPr>
      </w:pPr>
      <w:r w:rsidRPr="00DD711D">
        <w:rPr>
          <w:rFonts w:ascii="Arial" w:hAnsi="Arial" w:cs="Arial"/>
        </w:rPr>
        <w:t xml:space="preserve">Highlight that it only granted for a short period. </w:t>
      </w:r>
    </w:p>
    <w:p w14:paraId="57148F2A" w14:textId="77777777" w:rsidR="00E15297" w:rsidRDefault="00E15297" w:rsidP="00E15297">
      <w:pPr>
        <w:numPr>
          <w:ilvl w:val="0"/>
          <w:numId w:val="4"/>
        </w:numPr>
        <w:rPr>
          <w:rFonts w:ascii="Arial" w:hAnsi="Arial" w:cs="Arial"/>
        </w:rPr>
      </w:pPr>
      <w:r w:rsidRPr="00DD711D">
        <w:rPr>
          <w:rFonts w:ascii="Arial" w:hAnsi="Arial" w:cs="Arial"/>
        </w:rPr>
        <w:t>Set out the delegated authority for dealing with applications.</w:t>
      </w:r>
    </w:p>
    <w:p w14:paraId="00374158" w14:textId="77777777" w:rsidR="00E15297" w:rsidRDefault="00E15297" w:rsidP="00E15297">
      <w:pPr>
        <w:rPr>
          <w:rFonts w:ascii="Arial" w:hAnsi="Arial" w:cs="Arial"/>
        </w:rPr>
      </w:pPr>
    </w:p>
    <w:p w14:paraId="594493F3" w14:textId="31EE8FF8" w:rsidR="00E15297" w:rsidRPr="00E15297" w:rsidRDefault="00E15297" w:rsidP="00E15297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E15297">
        <w:rPr>
          <w:rFonts w:ascii="Arial" w:hAnsi="Arial" w:cs="Arial"/>
        </w:rPr>
        <w:t>.4</w:t>
      </w:r>
      <w:r w:rsidRPr="00E15297">
        <w:rPr>
          <w:rFonts w:ascii="Arial" w:hAnsi="Arial" w:cs="Arial"/>
        </w:rPr>
        <w:tab/>
        <w:t>Legal Background</w:t>
      </w:r>
    </w:p>
    <w:p w14:paraId="36ECC3D8" w14:textId="77777777" w:rsidR="00E15297" w:rsidRPr="00E15297" w:rsidRDefault="00E15297" w:rsidP="00E15297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342204E5" w14:textId="4F882C37" w:rsidR="00E15297" w:rsidRPr="00E15297" w:rsidRDefault="00E15297" w:rsidP="00E1529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E15297">
        <w:rPr>
          <w:rFonts w:ascii="Arial" w:hAnsi="Arial" w:cs="Arial"/>
        </w:rPr>
        <w:t>.4.1</w:t>
      </w:r>
      <w:r w:rsidRPr="00E15297">
        <w:rPr>
          <w:rFonts w:ascii="Arial" w:hAnsi="Arial" w:cs="Arial"/>
        </w:rPr>
        <w:tab/>
        <w:t xml:space="preserve">Section 44a of the Local Government Finance Act 1988 allows the </w:t>
      </w:r>
      <w:proofErr w:type="gramStart"/>
      <w:r w:rsidRPr="00E15297">
        <w:rPr>
          <w:rFonts w:ascii="Arial" w:hAnsi="Arial" w:cs="Arial"/>
        </w:rPr>
        <w:t>Council  to</w:t>
      </w:r>
      <w:proofErr w:type="gramEnd"/>
      <w:r w:rsidRPr="00E15297">
        <w:rPr>
          <w:rFonts w:ascii="Arial" w:hAnsi="Arial" w:cs="Arial"/>
        </w:rPr>
        <w:t xml:space="preserve"> grant rate relief on a property that is partly unoccupied, so long as the situation exists for a short time only.</w:t>
      </w:r>
    </w:p>
    <w:p w14:paraId="18228D5A" w14:textId="77777777" w:rsidR="00E15297" w:rsidRPr="00E15297" w:rsidRDefault="00E15297" w:rsidP="00E15297">
      <w:pPr>
        <w:pStyle w:val="ListParagraph"/>
        <w:ind w:left="1440"/>
        <w:rPr>
          <w:rFonts w:ascii="Arial" w:hAnsi="Arial" w:cs="Arial"/>
        </w:rPr>
      </w:pPr>
    </w:p>
    <w:p w14:paraId="0095661A" w14:textId="1FFB3310" w:rsidR="00E15297" w:rsidRPr="00E15297" w:rsidRDefault="00E15297" w:rsidP="00E1529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E15297">
        <w:rPr>
          <w:rFonts w:ascii="Arial" w:hAnsi="Arial" w:cs="Arial"/>
        </w:rPr>
        <w:t>.4.2</w:t>
      </w:r>
      <w:r w:rsidRPr="00E15297">
        <w:rPr>
          <w:rFonts w:ascii="Arial" w:hAnsi="Arial" w:cs="Arial"/>
        </w:rPr>
        <w:tab/>
        <w:t>The decision to exercise our discretion must be taken before a certificate is requested from the Valuation Office Agency, because the ‘occupied value’ once certified becomes the Section 42 rateable value for the purpose of the Act.</w:t>
      </w:r>
    </w:p>
    <w:p w14:paraId="7E7AB3F5" w14:textId="77777777" w:rsidR="00E15297" w:rsidRPr="00E15297" w:rsidRDefault="00E15297" w:rsidP="00E15297">
      <w:pPr>
        <w:pStyle w:val="ListParagraph"/>
        <w:ind w:left="1440"/>
        <w:rPr>
          <w:rFonts w:ascii="Arial" w:hAnsi="Arial" w:cs="Arial"/>
        </w:rPr>
      </w:pPr>
    </w:p>
    <w:p w14:paraId="4456A6E8" w14:textId="7C27F7CC" w:rsidR="00E15297" w:rsidRPr="00E15297" w:rsidRDefault="00E15297" w:rsidP="00E1529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E15297">
        <w:rPr>
          <w:rFonts w:ascii="Arial" w:hAnsi="Arial" w:cs="Arial"/>
        </w:rPr>
        <w:t>.4.3</w:t>
      </w:r>
      <w:r w:rsidRPr="00E15297">
        <w:rPr>
          <w:rFonts w:ascii="Arial" w:hAnsi="Arial" w:cs="Arial"/>
        </w:rPr>
        <w:tab/>
        <w:t xml:space="preserve">The discretion given to the </w:t>
      </w:r>
      <w:proofErr w:type="gramStart"/>
      <w:r w:rsidRPr="00E15297">
        <w:rPr>
          <w:rFonts w:ascii="Arial" w:hAnsi="Arial" w:cs="Arial"/>
        </w:rPr>
        <w:t>Council  only</w:t>
      </w:r>
      <w:proofErr w:type="gramEnd"/>
      <w:r w:rsidRPr="00E15297">
        <w:rPr>
          <w:rFonts w:ascii="Arial" w:hAnsi="Arial" w:cs="Arial"/>
        </w:rPr>
        <w:t xml:space="preserve"> extends to deciding whether or not to allow relief and what is a short period in relation to the premises or ratepayer. </w:t>
      </w:r>
    </w:p>
    <w:p w14:paraId="4B4DDCAF" w14:textId="77777777" w:rsidR="00E15297" w:rsidRPr="00E15297" w:rsidRDefault="00E15297" w:rsidP="00E15297">
      <w:pPr>
        <w:rPr>
          <w:rFonts w:ascii="Arial" w:hAnsi="Arial" w:cs="Arial"/>
        </w:rPr>
      </w:pPr>
    </w:p>
    <w:p w14:paraId="05180D94" w14:textId="1870F577" w:rsidR="00E15297" w:rsidRPr="00E15297" w:rsidRDefault="00E15297" w:rsidP="00E1529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E15297">
        <w:rPr>
          <w:rFonts w:ascii="Arial" w:hAnsi="Arial" w:cs="Arial"/>
        </w:rPr>
        <w:t>.4.4</w:t>
      </w:r>
      <w:r w:rsidRPr="00E15297">
        <w:rPr>
          <w:rFonts w:ascii="Arial" w:hAnsi="Arial" w:cs="Arial"/>
        </w:rPr>
        <w:tab/>
        <w:t>Discretion does not extend to selecting categories of property or ratepayer where relief will be favoured.</w:t>
      </w:r>
    </w:p>
    <w:p w14:paraId="50B09E87" w14:textId="77777777" w:rsidR="00926A1F" w:rsidRDefault="00926A1F" w:rsidP="007641B4">
      <w:pPr>
        <w:rPr>
          <w:rFonts w:ascii="Arial" w:hAnsi="Arial" w:cs="Arial"/>
          <w:bCs/>
          <w:color w:val="000000"/>
        </w:rPr>
      </w:pPr>
    </w:p>
    <w:p w14:paraId="4B8573B6" w14:textId="053DE57F" w:rsidR="007641B4" w:rsidRDefault="007641B4" w:rsidP="00F8657C">
      <w:pPr>
        <w:pStyle w:val="Heading2"/>
      </w:pPr>
      <w:r>
        <w:t>2</w:t>
      </w:r>
      <w:r>
        <w:tab/>
        <w:t>What is the council’s policy?</w:t>
      </w:r>
    </w:p>
    <w:p w14:paraId="3299E68B" w14:textId="77777777" w:rsidR="00E15297" w:rsidRPr="00E15297" w:rsidRDefault="00E15297" w:rsidP="00E15297"/>
    <w:p w14:paraId="07CF0CE7" w14:textId="4AA7A4B8" w:rsidR="00E15297" w:rsidRPr="00FD4512" w:rsidRDefault="00E15297" w:rsidP="00E15297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D4512">
        <w:rPr>
          <w:rFonts w:ascii="Arial" w:hAnsi="Arial" w:cs="Arial"/>
        </w:rPr>
        <w:t>.1</w:t>
      </w:r>
      <w:r w:rsidRPr="00FD4512">
        <w:rPr>
          <w:rFonts w:ascii="Arial" w:hAnsi="Arial" w:cs="Arial"/>
        </w:rPr>
        <w:tab/>
        <w:t>Awarding S44A Partly Occupied Discretionary Rate Relief</w:t>
      </w:r>
    </w:p>
    <w:p w14:paraId="2D2EBD94" w14:textId="77777777" w:rsidR="00E15297" w:rsidRDefault="00E15297" w:rsidP="00E15297">
      <w:pPr>
        <w:rPr>
          <w:rFonts w:ascii="Arial" w:hAnsi="Arial" w:cs="Arial"/>
          <w:sz w:val="28"/>
          <w:szCs w:val="28"/>
        </w:rPr>
      </w:pPr>
    </w:p>
    <w:p w14:paraId="752BB16D" w14:textId="58D07889" w:rsidR="00E15297" w:rsidRDefault="00E15297" w:rsidP="00E1529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2.1.1</w:t>
      </w:r>
      <w:r>
        <w:rPr>
          <w:rFonts w:ascii="Arial" w:hAnsi="Arial" w:cs="Arial"/>
        </w:rPr>
        <w:tab/>
        <w:t>When considering an application for discretionary rate relief the following factors will be taken into account:</w:t>
      </w:r>
    </w:p>
    <w:p w14:paraId="28429A8F" w14:textId="77777777" w:rsidR="00E15297" w:rsidRDefault="00E15297" w:rsidP="00E15297">
      <w:pPr>
        <w:ind w:left="720" w:hanging="720"/>
        <w:rPr>
          <w:rFonts w:ascii="Arial" w:hAnsi="Arial" w:cs="Arial"/>
        </w:rPr>
      </w:pPr>
    </w:p>
    <w:p w14:paraId="1E303273" w14:textId="77777777" w:rsidR="00E15297" w:rsidRDefault="00E15297" w:rsidP="00E15297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The circumstances leading to the partial occupation</w:t>
      </w:r>
    </w:p>
    <w:p w14:paraId="3A0C18BB" w14:textId="05A526AD" w:rsidR="00E15297" w:rsidRDefault="00E15297" w:rsidP="00E15297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What the intention of the business</w:t>
      </w:r>
      <w:r w:rsidR="00D978CC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in relation to the unoccupied parts</w:t>
      </w:r>
    </w:p>
    <w:p w14:paraId="7D1D8530" w14:textId="77777777" w:rsidR="00E15297" w:rsidRDefault="00E15297" w:rsidP="00E15297">
      <w:pPr>
        <w:numPr>
          <w:ilvl w:val="0"/>
          <w:numId w:val="6"/>
        </w:numPr>
        <w:rPr>
          <w:rFonts w:ascii="Arial" w:hAnsi="Arial" w:cs="Arial"/>
        </w:rPr>
      </w:pPr>
      <w:r w:rsidRPr="0080507B">
        <w:rPr>
          <w:rFonts w:ascii="Arial" w:hAnsi="Arial" w:cs="Arial"/>
        </w:rPr>
        <w:lastRenderedPageBreak/>
        <w:t xml:space="preserve">Evidence that the unoccupied part will be empty for a short term only. </w:t>
      </w:r>
    </w:p>
    <w:p w14:paraId="1FD70814" w14:textId="12672079" w:rsidR="00173980" w:rsidRPr="0080507B" w:rsidRDefault="00173980" w:rsidP="00E15297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Whether </w:t>
      </w:r>
      <w:r w:rsidR="004D07E2">
        <w:rPr>
          <w:rFonts w:ascii="Arial" w:hAnsi="Arial" w:cs="Arial"/>
        </w:rPr>
        <w:t xml:space="preserve">awarding the relief is in line with the </w:t>
      </w:r>
      <w:hyperlink r:id="rId11" w:history="1">
        <w:r w:rsidR="004D07E2" w:rsidRPr="004D07E2">
          <w:rPr>
            <w:rStyle w:val="Hyperlink"/>
            <w:rFonts w:ascii="Arial" w:hAnsi="Arial" w:cs="Arial"/>
          </w:rPr>
          <w:t>Council Plan</w:t>
        </w:r>
      </w:hyperlink>
      <w:r w:rsidR="004D07E2">
        <w:rPr>
          <w:rFonts w:ascii="Arial" w:hAnsi="Arial" w:cs="Arial"/>
        </w:rPr>
        <w:t>.</w:t>
      </w:r>
    </w:p>
    <w:p w14:paraId="708B78AC" w14:textId="77777777" w:rsidR="00E15297" w:rsidRDefault="00E15297" w:rsidP="00E15297">
      <w:pPr>
        <w:ind w:left="720" w:hanging="720"/>
        <w:rPr>
          <w:rFonts w:ascii="Arial" w:hAnsi="Arial" w:cs="Arial"/>
        </w:rPr>
      </w:pPr>
    </w:p>
    <w:p w14:paraId="31A1509A" w14:textId="192D18EA" w:rsidR="00E15297" w:rsidRDefault="00E15297" w:rsidP="00E1529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2.1.2</w:t>
      </w:r>
      <w:r>
        <w:rPr>
          <w:rFonts w:ascii="Arial" w:hAnsi="Arial" w:cs="Arial"/>
        </w:rPr>
        <w:tab/>
        <w:t>East Devon will not normally give relief under this provision where:</w:t>
      </w:r>
    </w:p>
    <w:p w14:paraId="149DF000" w14:textId="77777777" w:rsidR="00E15297" w:rsidRDefault="00E15297" w:rsidP="00E15297">
      <w:pPr>
        <w:rPr>
          <w:rFonts w:ascii="Arial" w:hAnsi="Arial" w:cs="Arial"/>
        </w:rPr>
      </w:pPr>
    </w:p>
    <w:p w14:paraId="0A0CF17E" w14:textId="77777777" w:rsidR="00E15297" w:rsidRDefault="00E15297" w:rsidP="00E15297">
      <w:pPr>
        <w:numPr>
          <w:ilvl w:val="0"/>
          <w:numId w:val="5"/>
        </w:numPr>
        <w:rPr>
          <w:rFonts w:ascii="Arial" w:hAnsi="Arial" w:cs="Arial"/>
        </w:rPr>
      </w:pPr>
      <w:r w:rsidRPr="009C56CA">
        <w:rPr>
          <w:rFonts w:ascii="Arial" w:hAnsi="Arial" w:cs="Arial"/>
        </w:rPr>
        <w:t xml:space="preserve">Part occupation is likely to </w:t>
      </w:r>
      <w:r>
        <w:rPr>
          <w:rFonts w:ascii="Arial" w:hAnsi="Arial" w:cs="Arial"/>
        </w:rPr>
        <w:t>exceed a short time</w:t>
      </w:r>
    </w:p>
    <w:p w14:paraId="2D9918CF" w14:textId="77777777" w:rsidR="00E15297" w:rsidRPr="009C56CA" w:rsidRDefault="00E15297" w:rsidP="00E15297">
      <w:pPr>
        <w:numPr>
          <w:ilvl w:val="0"/>
          <w:numId w:val="5"/>
        </w:numPr>
        <w:rPr>
          <w:rFonts w:ascii="Arial" w:hAnsi="Arial" w:cs="Arial"/>
        </w:rPr>
      </w:pPr>
      <w:r w:rsidRPr="009C56CA">
        <w:rPr>
          <w:rFonts w:ascii="Arial" w:hAnsi="Arial" w:cs="Arial"/>
        </w:rPr>
        <w:t>Part occupation is seasonal</w:t>
      </w:r>
    </w:p>
    <w:p w14:paraId="65599337" w14:textId="77777777" w:rsidR="00E15297" w:rsidRDefault="00E15297" w:rsidP="00E15297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It appears there is no effort being taken to let, sell, re-occupy or totally vacate</w:t>
      </w:r>
    </w:p>
    <w:p w14:paraId="387192E7" w14:textId="77777777" w:rsidR="00E15297" w:rsidRDefault="00E15297" w:rsidP="00E15297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It is for a retrospective period</w:t>
      </w:r>
    </w:p>
    <w:p w14:paraId="781D6D4C" w14:textId="77777777" w:rsidR="00E15297" w:rsidRDefault="00E15297" w:rsidP="00E15297">
      <w:pPr>
        <w:rPr>
          <w:rFonts w:ascii="Arial" w:hAnsi="Arial" w:cs="Arial"/>
        </w:rPr>
      </w:pPr>
    </w:p>
    <w:p w14:paraId="1BF70475" w14:textId="10857D27" w:rsidR="00E15297" w:rsidRDefault="00E15297" w:rsidP="00E15297">
      <w:pPr>
        <w:rPr>
          <w:rFonts w:ascii="Arial" w:hAnsi="Arial" w:cs="Arial"/>
        </w:rPr>
      </w:pPr>
      <w:r>
        <w:rPr>
          <w:rFonts w:ascii="Arial" w:hAnsi="Arial" w:cs="Arial"/>
        </w:rPr>
        <w:t>2.1.3</w:t>
      </w:r>
      <w:r>
        <w:rPr>
          <w:rFonts w:ascii="Arial" w:hAnsi="Arial" w:cs="Arial"/>
        </w:rPr>
        <w:tab/>
        <w:t>Any relief awarded will end when either:</w:t>
      </w:r>
    </w:p>
    <w:p w14:paraId="6E72BC1E" w14:textId="77777777" w:rsidR="00E15297" w:rsidRDefault="00E15297" w:rsidP="00E15297">
      <w:pPr>
        <w:rPr>
          <w:rFonts w:ascii="Arial" w:hAnsi="Arial" w:cs="Arial"/>
        </w:rPr>
      </w:pPr>
    </w:p>
    <w:p w14:paraId="42A7ACE8" w14:textId="77777777" w:rsidR="00E15297" w:rsidRDefault="00E15297" w:rsidP="00E15297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There is a change in the partial occupation (more or less); or</w:t>
      </w:r>
    </w:p>
    <w:p w14:paraId="35A10A3D" w14:textId="77777777" w:rsidR="00E15297" w:rsidRDefault="00E15297" w:rsidP="00E15297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It is the end of the financial year (though we can use our discretion to request a further certificate if the circumstances permit it); or</w:t>
      </w:r>
    </w:p>
    <w:p w14:paraId="7E128459" w14:textId="77777777" w:rsidR="00E15297" w:rsidRDefault="00E15297" w:rsidP="00E15297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There is a change in the rateable value (through revaluation or an appeal).</w:t>
      </w:r>
    </w:p>
    <w:p w14:paraId="276C4165" w14:textId="77777777" w:rsidR="00E15297" w:rsidRDefault="00E15297" w:rsidP="00E15297">
      <w:pPr>
        <w:rPr>
          <w:rFonts w:ascii="Arial" w:hAnsi="Arial" w:cs="Arial"/>
        </w:rPr>
      </w:pPr>
    </w:p>
    <w:p w14:paraId="7F158B4A" w14:textId="6606353B" w:rsidR="00E15297" w:rsidRDefault="00E15297" w:rsidP="00E1529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2.1.4</w:t>
      </w:r>
      <w:r>
        <w:rPr>
          <w:rFonts w:ascii="Arial" w:hAnsi="Arial" w:cs="Arial"/>
        </w:rPr>
        <w:tab/>
        <w:t>Ratepayers are required to notify the Council of any change in circumstances that may affect entitlement to this relief.</w:t>
      </w:r>
    </w:p>
    <w:p w14:paraId="788DA0A6" w14:textId="77777777" w:rsidR="00E15297" w:rsidRDefault="00E15297" w:rsidP="00E15297">
      <w:pPr>
        <w:ind w:left="720" w:hanging="720"/>
        <w:rPr>
          <w:rFonts w:ascii="Arial" w:hAnsi="Arial" w:cs="Arial"/>
        </w:rPr>
      </w:pPr>
    </w:p>
    <w:p w14:paraId="6C58E96D" w14:textId="5013538A" w:rsidR="00E15297" w:rsidRPr="00FD4512" w:rsidRDefault="00E15297" w:rsidP="00E1529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D4512">
        <w:rPr>
          <w:rFonts w:ascii="Arial" w:hAnsi="Arial" w:cs="Arial"/>
        </w:rPr>
        <w:t>.2</w:t>
      </w:r>
      <w:r w:rsidRPr="00FD4512">
        <w:rPr>
          <w:rFonts w:ascii="Arial" w:hAnsi="Arial" w:cs="Arial"/>
        </w:rPr>
        <w:tab/>
        <w:t>Administering the scheme</w:t>
      </w:r>
    </w:p>
    <w:p w14:paraId="29FFF4CF" w14:textId="77777777" w:rsidR="00E15297" w:rsidRDefault="00E15297" w:rsidP="00E15297">
      <w:pPr>
        <w:ind w:left="720" w:hanging="720"/>
        <w:rPr>
          <w:rFonts w:ascii="Arial" w:hAnsi="Arial" w:cs="Arial"/>
        </w:rPr>
      </w:pPr>
    </w:p>
    <w:p w14:paraId="5B5F6690" w14:textId="0B94E743" w:rsidR="00E15297" w:rsidRDefault="00E15297" w:rsidP="00E1529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2.2.1</w:t>
      </w:r>
      <w:r>
        <w:rPr>
          <w:rFonts w:ascii="Arial" w:hAnsi="Arial" w:cs="Arial"/>
        </w:rPr>
        <w:tab/>
        <w:t>Relief must be applied for in writing (including email) and will need to include the following:</w:t>
      </w:r>
    </w:p>
    <w:p w14:paraId="75EE9972" w14:textId="77777777" w:rsidR="00E15297" w:rsidRDefault="00E15297" w:rsidP="00E15297">
      <w:pPr>
        <w:ind w:left="720" w:hanging="720"/>
        <w:rPr>
          <w:rFonts w:ascii="Arial" w:hAnsi="Arial" w:cs="Arial"/>
        </w:rPr>
      </w:pPr>
    </w:p>
    <w:p w14:paraId="5D81A346" w14:textId="173671DC" w:rsidR="00E15297" w:rsidRDefault="00E15297" w:rsidP="00E15297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The period the relief</w:t>
      </w:r>
      <w:r w:rsidR="00BF0635">
        <w:rPr>
          <w:rFonts w:ascii="Arial" w:hAnsi="Arial" w:cs="Arial"/>
        </w:rPr>
        <w:t xml:space="preserve"> is requested </w:t>
      </w:r>
      <w:proofErr w:type="gramStart"/>
      <w:r w:rsidR="00BF0635">
        <w:rPr>
          <w:rFonts w:ascii="Arial" w:hAnsi="Arial" w:cs="Arial"/>
        </w:rPr>
        <w:t>for</w:t>
      </w:r>
      <w:proofErr w:type="gramEnd"/>
    </w:p>
    <w:p w14:paraId="51618DD2" w14:textId="16623DA1" w:rsidR="00E15297" w:rsidRDefault="00E15297" w:rsidP="00E15297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reasons why relief should be given and the circumstances leading to the partial occupation </w:t>
      </w:r>
      <w:r w:rsidR="00BF0635">
        <w:rPr>
          <w:rFonts w:ascii="Arial" w:hAnsi="Arial" w:cs="Arial"/>
        </w:rPr>
        <w:t xml:space="preserve">and future plans for the unoccupied </w:t>
      </w:r>
      <w:proofErr w:type="gramStart"/>
      <w:r w:rsidR="00BF0635">
        <w:rPr>
          <w:rFonts w:ascii="Arial" w:hAnsi="Arial" w:cs="Arial"/>
        </w:rPr>
        <w:t>part</w:t>
      </w:r>
      <w:proofErr w:type="gramEnd"/>
    </w:p>
    <w:p w14:paraId="268A7F84" w14:textId="77777777" w:rsidR="00E15297" w:rsidRDefault="00E15297" w:rsidP="00E15297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 plan of the rated premises which clearly identifies the occupied and the unoccupied areas.</w:t>
      </w:r>
    </w:p>
    <w:p w14:paraId="0F5009BC" w14:textId="77777777" w:rsidR="00E15297" w:rsidRDefault="00E15297" w:rsidP="00E15297">
      <w:pPr>
        <w:rPr>
          <w:rFonts w:ascii="Arial" w:hAnsi="Arial" w:cs="Arial"/>
        </w:rPr>
      </w:pPr>
    </w:p>
    <w:p w14:paraId="0C922BD2" w14:textId="3CD0591B" w:rsidR="00E15297" w:rsidRDefault="00E15297" w:rsidP="00E1529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2.2.2</w:t>
      </w:r>
      <w:r w:rsidRPr="009C56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0507B">
        <w:rPr>
          <w:rFonts w:ascii="Arial" w:hAnsi="Arial" w:cs="Arial"/>
        </w:rPr>
        <w:t>The premises will need to be inspected in order to verify the information that has been provided</w:t>
      </w:r>
    </w:p>
    <w:p w14:paraId="5EA7C571" w14:textId="77777777" w:rsidR="00E15297" w:rsidRDefault="00E15297" w:rsidP="00E15297">
      <w:pPr>
        <w:rPr>
          <w:rFonts w:ascii="Arial" w:hAnsi="Arial" w:cs="Arial"/>
        </w:rPr>
      </w:pPr>
    </w:p>
    <w:p w14:paraId="654E7C0E" w14:textId="6AC30389" w:rsidR="00E15297" w:rsidRDefault="00E15297" w:rsidP="00E1529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2.2.3</w:t>
      </w:r>
      <w:r w:rsidRPr="008050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The maximum period will normally only be granted for up to 3 months, 6 months for qualifying industrial property (mirror</w:t>
      </w:r>
      <w:r w:rsidR="00BF0635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the statutory exemption for empty property)</w:t>
      </w:r>
      <w:r w:rsidR="00BF063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Beyond that, in </w:t>
      </w:r>
      <w:proofErr w:type="gramStart"/>
      <w:r>
        <w:rPr>
          <w:rFonts w:ascii="Arial" w:hAnsi="Arial" w:cs="Arial"/>
        </w:rPr>
        <w:t>the majority of</w:t>
      </w:r>
      <w:proofErr w:type="gramEnd"/>
      <w:r>
        <w:rPr>
          <w:rFonts w:ascii="Arial" w:hAnsi="Arial" w:cs="Arial"/>
        </w:rPr>
        <w:t xml:space="preserve"> cases, there would be no financial benefit to the customer exceeding the exemption period as full rates are payable whether it’s occupied or not.</w:t>
      </w:r>
    </w:p>
    <w:p w14:paraId="0EFA1688" w14:textId="77777777" w:rsidR="00E15297" w:rsidRDefault="00E15297" w:rsidP="00E15297">
      <w:pPr>
        <w:rPr>
          <w:rFonts w:ascii="Arial" w:hAnsi="Arial" w:cs="Arial"/>
        </w:rPr>
      </w:pPr>
    </w:p>
    <w:p w14:paraId="2B3F1309" w14:textId="464F2C54" w:rsidR="00E15297" w:rsidRDefault="00E15297" w:rsidP="00E1529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2.2.4</w:t>
      </w:r>
      <w:r>
        <w:rPr>
          <w:rFonts w:ascii="Arial" w:hAnsi="Arial" w:cs="Arial"/>
        </w:rPr>
        <w:tab/>
        <w:t xml:space="preserve">Delegated authority is given to the Assistant Director – Revenues, Benefits &amp; </w:t>
      </w:r>
      <w:proofErr w:type="spellStart"/>
      <w:r>
        <w:rPr>
          <w:rFonts w:ascii="Arial" w:hAnsi="Arial" w:cs="Arial"/>
        </w:rPr>
        <w:t>Corportate</w:t>
      </w:r>
      <w:proofErr w:type="spellEnd"/>
      <w:r>
        <w:rPr>
          <w:rFonts w:ascii="Arial" w:hAnsi="Arial" w:cs="Arial"/>
        </w:rPr>
        <w:t xml:space="preserve"> Customer Access for deciding applications for this discretionary rate relief</w:t>
      </w:r>
      <w:r w:rsidR="00BF0635">
        <w:rPr>
          <w:rFonts w:ascii="Arial" w:hAnsi="Arial" w:cs="Arial"/>
        </w:rPr>
        <w:t>.</w:t>
      </w:r>
    </w:p>
    <w:p w14:paraId="2DC9F984" w14:textId="77777777" w:rsidR="00E15297" w:rsidRDefault="00E15297" w:rsidP="00E15297">
      <w:pPr>
        <w:ind w:left="720" w:hanging="720"/>
        <w:rPr>
          <w:rFonts w:ascii="Arial" w:hAnsi="Arial" w:cs="Arial"/>
        </w:rPr>
      </w:pPr>
    </w:p>
    <w:p w14:paraId="38760E1A" w14:textId="58EE8421" w:rsidR="00E15297" w:rsidRDefault="00E15297" w:rsidP="00E1529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2.2.5</w:t>
      </w:r>
      <w:r>
        <w:rPr>
          <w:rFonts w:ascii="Arial" w:hAnsi="Arial" w:cs="Arial"/>
        </w:rPr>
        <w:tab/>
        <w:t>The Council will aim to make a decision within 14 days of receiving all the information required.</w:t>
      </w:r>
    </w:p>
    <w:p w14:paraId="2407CA6C" w14:textId="77777777" w:rsidR="00E15297" w:rsidRDefault="00E15297" w:rsidP="00E15297">
      <w:pPr>
        <w:ind w:left="720" w:hanging="720"/>
        <w:rPr>
          <w:rFonts w:ascii="Arial" w:hAnsi="Arial" w:cs="Arial"/>
        </w:rPr>
      </w:pPr>
    </w:p>
    <w:p w14:paraId="59ED55F1" w14:textId="3DF0D79A" w:rsidR="00E15297" w:rsidRDefault="00E15297" w:rsidP="00E1529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2.2.6</w:t>
      </w:r>
      <w:r>
        <w:rPr>
          <w:rFonts w:ascii="Arial" w:hAnsi="Arial" w:cs="Arial"/>
        </w:rPr>
        <w:tab/>
        <w:t>Unsuccessful applicants will be notified in writing together with the reason for the decision.</w:t>
      </w:r>
    </w:p>
    <w:p w14:paraId="3337D825" w14:textId="77777777" w:rsidR="00220645" w:rsidRDefault="00220645" w:rsidP="00E15297">
      <w:pPr>
        <w:ind w:left="720" w:hanging="720"/>
        <w:rPr>
          <w:rFonts w:ascii="Arial" w:hAnsi="Arial" w:cs="Arial"/>
        </w:rPr>
      </w:pPr>
    </w:p>
    <w:p w14:paraId="42C79F57" w14:textId="46A83B01" w:rsidR="00220645" w:rsidRPr="00220645" w:rsidRDefault="00220645" w:rsidP="00E15297">
      <w:pPr>
        <w:ind w:left="720" w:hanging="720"/>
        <w:rPr>
          <w:rFonts w:ascii="Arial" w:hAnsi="Arial" w:cs="Arial"/>
        </w:rPr>
      </w:pPr>
      <w:r w:rsidRPr="00220645">
        <w:rPr>
          <w:rFonts w:ascii="Arial" w:hAnsi="Arial" w:cs="Arial"/>
        </w:rPr>
        <w:t xml:space="preserve">2.2.7 </w:t>
      </w:r>
      <w:r w:rsidRPr="00220645">
        <w:rPr>
          <w:rFonts w:ascii="Arial" w:hAnsi="Arial" w:cs="Arial"/>
        </w:rPr>
        <w:tab/>
      </w:r>
      <w:r w:rsidRPr="00220645">
        <w:rPr>
          <w:rFonts w:ascii="Arial" w:hAnsi="Arial" w:cs="Arial"/>
          <w:bCs/>
          <w:color w:val="000000"/>
        </w:rPr>
        <w:t>The Assistant Director for Revenues, Benefits and Corporate Customer Access is delegated to update the policy to take account of technical or administrative changes.</w:t>
      </w:r>
    </w:p>
    <w:p w14:paraId="0106EE0C" w14:textId="77777777" w:rsidR="00E15297" w:rsidRDefault="00E15297" w:rsidP="00E15297">
      <w:pPr>
        <w:ind w:left="720" w:hanging="720"/>
        <w:rPr>
          <w:rFonts w:ascii="Arial" w:hAnsi="Arial" w:cs="Arial"/>
        </w:rPr>
      </w:pPr>
    </w:p>
    <w:p w14:paraId="6270CE0F" w14:textId="77777777" w:rsidR="00E15297" w:rsidRPr="00202AFB" w:rsidRDefault="00E15297" w:rsidP="00E1529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02AFB">
        <w:rPr>
          <w:rFonts w:ascii="Arial" w:hAnsi="Arial" w:cs="Arial"/>
        </w:rPr>
        <w:t>.3</w:t>
      </w:r>
      <w:r w:rsidRPr="00202AFB">
        <w:rPr>
          <w:rFonts w:ascii="Arial" w:hAnsi="Arial" w:cs="Arial"/>
        </w:rPr>
        <w:tab/>
        <w:t>Right of Appeal</w:t>
      </w:r>
    </w:p>
    <w:p w14:paraId="1C9E08C4" w14:textId="77777777" w:rsidR="00E15297" w:rsidRDefault="00E15297" w:rsidP="00E15297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5C30F95" w14:textId="77777777" w:rsidR="00E15297" w:rsidRDefault="00E15297" w:rsidP="00E1529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2.3.1</w:t>
      </w:r>
      <w:r>
        <w:rPr>
          <w:rFonts w:ascii="Arial" w:hAnsi="Arial" w:cs="Arial"/>
        </w:rPr>
        <w:tab/>
        <w:t>There is no statutory right of appeal against a decision made by the Council regarding discretionary rate relief. However, the Council recognises that ratepayers should be entitled to have a decision reviewed if they are dissatisfied with the outcome.</w:t>
      </w:r>
    </w:p>
    <w:p w14:paraId="5739B2CD" w14:textId="77777777" w:rsidR="00E15297" w:rsidRDefault="00E15297" w:rsidP="00E15297">
      <w:pPr>
        <w:ind w:left="709" w:hanging="709"/>
        <w:rPr>
          <w:rFonts w:ascii="Arial" w:hAnsi="Arial" w:cs="Arial"/>
        </w:rPr>
      </w:pPr>
    </w:p>
    <w:p w14:paraId="5B8D3D0F" w14:textId="6D14D68A" w:rsidR="00E15297" w:rsidRDefault="00E15297" w:rsidP="00E1529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2.3.2</w:t>
      </w:r>
      <w:r>
        <w:rPr>
          <w:rFonts w:ascii="Arial" w:hAnsi="Arial" w:cs="Arial"/>
        </w:rPr>
        <w:tab/>
        <w:t xml:space="preserve">A review of a decision will be dealt with by the Council’s 151 Officer in consultation with the Council’s Monitoring </w:t>
      </w:r>
      <w:proofErr w:type="gramStart"/>
      <w:r>
        <w:rPr>
          <w:rFonts w:ascii="Arial" w:hAnsi="Arial" w:cs="Arial"/>
        </w:rPr>
        <w:t>Officer  There</w:t>
      </w:r>
      <w:proofErr w:type="gramEnd"/>
      <w:r>
        <w:rPr>
          <w:rFonts w:ascii="Arial" w:hAnsi="Arial" w:cs="Arial"/>
        </w:rPr>
        <w:t xml:space="preserve"> is no further right of appeal.</w:t>
      </w:r>
    </w:p>
    <w:p w14:paraId="546C5971" w14:textId="77777777" w:rsidR="00E15297" w:rsidRDefault="00E15297" w:rsidP="00E15297">
      <w:pPr>
        <w:ind w:left="709" w:hanging="709"/>
        <w:rPr>
          <w:rFonts w:ascii="Arial" w:hAnsi="Arial" w:cs="Arial"/>
        </w:rPr>
      </w:pPr>
    </w:p>
    <w:p w14:paraId="5BB01A97" w14:textId="351A9679" w:rsidR="00E15297" w:rsidRDefault="00E15297" w:rsidP="00E1529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2.3.3</w:t>
      </w:r>
      <w:r>
        <w:rPr>
          <w:rFonts w:ascii="Arial" w:hAnsi="Arial" w:cs="Arial"/>
        </w:rPr>
        <w:tab/>
        <w:t xml:space="preserve">A request for review must be made within one calendar month of the date of the decision </w:t>
      </w:r>
      <w:proofErr w:type="gramStart"/>
      <w:r>
        <w:rPr>
          <w:rFonts w:ascii="Arial" w:hAnsi="Arial" w:cs="Arial"/>
        </w:rPr>
        <w:t>notice .</w:t>
      </w:r>
      <w:proofErr w:type="gramEnd"/>
    </w:p>
    <w:p w14:paraId="0DF90B32" w14:textId="77777777" w:rsidR="00E15297" w:rsidRDefault="00E15297" w:rsidP="00E15297">
      <w:pPr>
        <w:rPr>
          <w:rFonts w:ascii="Arial" w:hAnsi="Arial" w:cs="Arial"/>
        </w:rPr>
      </w:pPr>
    </w:p>
    <w:p w14:paraId="262F25B4" w14:textId="1E07E9EA" w:rsidR="00E15297" w:rsidRDefault="00E15297" w:rsidP="00E1529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2.3.4</w:t>
      </w:r>
      <w:r>
        <w:rPr>
          <w:rFonts w:ascii="Arial" w:hAnsi="Arial" w:cs="Arial"/>
        </w:rPr>
        <w:tab/>
        <w:t>This review process does not affect a ratepayer’s legal right to seek leave to challenge a decision by way of Judicial Review.</w:t>
      </w:r>
    </w:p>
    <w:p w14:paraId="7E8FBE75" w14:textId="77777777" w:rsidR="00E15297" w:rsidRPr="00E15297" w:rsidRDefault="00E15297" w:rsidP="00E15297">
      <w:pPr>
        <w:ind w:left="709" w:hanging="709"/>
        <w:rPr>
          <w:rFonts w:ascii="Arial" w:hAnsi="Arial" w:cs="Arial"/>
        </w:rPr>
      </w:pPr>
    </w:p>
    <w:p w14:paraId="32D2B6B4" w14:textId="327A8611" w:rsidR="00E15297" w:rsidRPr="00202AFB" w:rsidRDefault="00E15297" w:rsidP="00E1529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926A1F">
        <w:rPr>
          <w:rFonts w:ascii="Arial" w:hAnsi="Arial" w:cs="Arial"/>
        </w:rPr>
        <w:t>4</w:t>
      </w:r>
      <w:r w:rsidRPr="00202AFB">
        <w:rPr>
          <w:rFonts w:ascii="Arial" w:hAnsi="Arial" w:cs="Arial"/>
        </w:rPr>
        <w:tab/>
        <w:t>Funding</w:t>
      </w:r>
    </w:p>
    <w:p w14:paraId="58B7E012" w14:textId="77777777" w:rsidR="00E15297" w:rsidRDefault="00E15297" w:rsidP="00E15297">
      <w:pPr>
        <w:ind w:left="720" w:hanging="720"/>
        <w:rPr>
          <w:rFonts w:ascii="Arial" w:hAnsi="Arial" w:cs="Arial"/>
        </w:rPr>
      </w:pPr>
    </w:p>
    <w:p w14:paraId="211BF3B9" w14:textId="4AB3E612" w:rsidR="00E15297" w:rsidRDefault="00E15297" w:rsidP="00E1529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926A1F">
        <w:rPr>
          <w:rFonts w:ascii="Arial" w:hAnsi="Arial" w:cs="Arial"/>
        </w:rPr>
        <w:t>4</w:t>
      </w:r>
      <w:r>
        <w:rPr>
          <w:rFonts w:ascii="Arial" w:hAnsi="Arial" w:cs="Arial"/>
        </w:rPr>
        <w:t>.1</w:t>
      </w:r>
      <w:r>
        <w:rPr>
          <w:rFonts w:ascii="Arial" w:hAnsi="Arial" w:cs="Arial"/>
        </w:rPr>
        <w:tab/>
        <w:t xml:space="preserve">The cost to East Devon District Council of funding discretionary rate relief is </w:t>
      </w:r>
      <w:proofErr w:type="gramStart"/>
      <w:r>
        <w:rPr>
          <w:rFonts w:ascii="Arial" w:hAnsi="Arial" w:cs="Arial"/>
        </w:rPr>
        <w:t>40%</w:t>
      </w:r>
      <w:proofErr w:type="gramEnd"/>
      <w:r>
        <w:rPr>
          <w:rFonts w:ascii="Arial" w:hAnsi="Arial" w:cs="Arial"/>
        </w:rPr>
        <w:t xml:space="preserve"> </w:t>
      </w:r>
    </w:p>
    <w:p w14:paraId="7C2282DF" w14:textId="77777777" w:rsidR="008C4747" w:rsidRDefault="008C4747" w:rsidP="00F8657C">
      <w:pPr>
        <w:pStyle w:val="Heading2"/>
      </w:pPr>
    </w:p>
    <w:p w14:paraId="71593729" w14:textId="1407BB82" w:rsidR="001B61B8" w:rsidRDefault="008C4747" w:rsidP="00F8657C">
      <w:pPr>
        <w:pStyle w:val="Heading2"/>
      </w:pPr>
      <w:r>
        <w:t>3</w:t>
      </w:r>
      <w:r>
        <w:tab/>
      </w:r>
      <w:r w:rsidR="001B61B8">
        <w:t xml:space="preserve">Policy </w:t>
      </w:r>
      <w:proofErr w:type="spellStart"/>
      <w:r w:rsidR="001B61B8">
        <w:t>Adminstraion</w:t>
      </w:r>
      <w:proofErr w:type="spellEnd"/>
    </w:p>
    <w:p w14:paraId="1C3BC728" w14:textId="24091736" w:rsidR="001B61B8" w:rsidRDefault="001B61B8" w:rsidP="001B61B8"/>
    <w:p w14:paraId="69121F31" w14:textId="4B10BF4C" w:rsidR="007641B4" w:rsidRDefault="007641B4" w:rsidP="00F8657C">
      <w:pPr>
        <w:pStyle w:val="Heading2"/>
      </w:pPr>
      <w:r>
        <w:t xml:space="preserve">Appendices and other relevant information </w:t>
      </w:r>
    </w:p>
    <w:p w14:paraId="77439CF3" w14:textId="0B4EFCDB" w:rsidR="007641B4" w:rsidRDefault="00755058" w:rsidP="007641B4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N/A</w:t>
      </w:r>
    </w:p>
    <w:p w14:paraId="77E903AB" w14:textId="77777777" w:rsidR="007641B4" w:rsidRDefault="007641B4" w:rsidP="007641B4">
      <w:pPr>
        <w:rPr>
          <w:rFonts w:ascii="Arial" w:hAnsi="Arial" w:cs="Arial"/>
          <w:bCs/>
          <w:color w:val="000000"/>
        </w:rPr>
      </w:pPr>
    </w:p>
    <w:p w14:paraId="413EBED1" w14:textId="61BA587C" w:rsidR="007641B4" w:rsidRDefault="007641B4" w:rsidP="00F8657C">
      <w:pPr>
        <w:pStyle w:val="Heading2"/>
      </w:pPr>
      <w:r>
        <w:t>Links related Policies/Strategies, Procedures and Legislation</w:t>
      </w:r>
    </w:p>
    <w:p w14:paraId="03A4F51D" w14:textId="77777777" w:rsidR="00755058" w:rsidRDefault="00755058" w:rsidP="007641B4">
      <w:pPr>
        <w:rPr>
          <w:rFonts w:ascii="Arial" w:hAnsi="Arial" w:cs="Arial"/>
        </w:rPr>
      </w:pPr>
      <w:r>
        <w:rPr>
          <w:rFonts w:ascii="Arial" w:hAnsi="Arial" w:cs="Arial"/>
        </w:rPr>
        <w:t>Local Government Finance Act 1988</w:t>
      </w:r>
    </w:p>
    <w:p w14:paraId="1F2B2FF8" w14:textId="02EBA1B3" w:rsidR="007641B4" w:rsidRDefault="00755058" w:rsidP="007641B4">
      <w:pPr>
        <w:rPr>
          <w:rFonts w:ascii="Arial" w:hAnsi="Arial" w:cs="Arial"/>
        </w:rPr>
      </w:pPr>
      <w:r>
        <w:rPr>
          <w:rFonts w:ascii="Arial" w:hAnsi="Arial" w:cs="Arial"/>
        </w:rPr>
        <w:t>Subsidy Control Act 2022</w:t>
      </w:r>
      <w:r w:rsidR="008C4747" w:rsidRPr="008C4747">
        <w:rPr>
          <w:rFonts w:ascii="Arial" w:hAnsi="Arial" w:cs="Arial"/>
        </w:rPr>
        <w:t>.</w:t>
      </w:r>
    </w:p>
    <w:p w14:paraId="56DC00FA" w14:textId="77777777" w:rsidR="007641B4" w:rsidRDefault="007641B4" w:rsidP="007641B4">
      <w:pPr>
        <w:ind w:left="720"/>
        <w:rPr>
          <w:rFonts w:ascii="Arial" w:hAnsi="Arial" w:cs="Arial"/>
        </w:rPr>
      </w:pPr>
    </w:p>
    <w:p w14:paraId="3F7F7098" w14:textId="77777777" w:rsidR="008C4747" w:rsidRDefault="008C4747" w:rsidP="008C4747">
      <w:pPr>
        <w:pStyle w:val="Heading2"/>
      </w:pPr>
      <w:r>
        <w:t>Data Protection</w:t>
      </w:r>
    </w:p>
    <w:p w14:paraId="170F4825" w14:textId="020FA6DF" w:rsidR="008C4747" w:rsidRPr="001B61B8" w:rsidRDefault="00755058" w:rsidP="008C47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N/A</w:t>
      </w:r>
      <w:r w:rsidR="008C4747" w:rsidRPr="001B61B8">
        <w:rPr>
          <w:rFonts w:ascii="Arial" w:hAnsi="Arial" w:cs="Arial"/>
        </w:rPr>
        <w:t>.</w:t>
      </w:r>
    </w:p>
    <w:p w14:paraId="61241101" w14:textId="77777777" w:rsidR="008C4747" w:rsidRDefault="008C4747" w:rsidP="001B61B8">
      <w:pPr>
        <w:rPr>
          <w:rFonts w:ascii="Arial" w:hAnsi="Arial" w:cs="Arial"/>
          <w:bCs/>
        </w:rPr>
      </w:pPr>
    </w:p>
    <w:p w14:paraId="7A58E2A8" w14:textId="0B30907F" w:rsidR="001B61B8" w:rsidRPr="001B61B8" w:rsidRDefault="001B61B8" w:rsidP="008C4747">
      <w:pPr>
        <w:pStyle w:val="Heading2"/>
      </w:pPr>
      <w:r w:rsidRPr="001B61B8">
        <w:t>Policy consultation</w:t>
      </w:r>
    </w:p>
    <w:p w14:paraId="3EFC47D5" w14:textId="7110D405" w:rsidR="001B61B8" w:rsidRPr="001B61B8" w:rsidRDefault="00926A1F" w:rsidP="001B61B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Portfolio Holder consulted </w:t>
      </w:r>
      <w:proofErr w:type="gramStart"/>
      <w:r>
        <w:rPr>
          <w:rFonts w:ascii="Arial" w:hAnsi="Arial" w:cs="Arial"/>
          <w:bCs/>
        </w:rPr>
        <w:t>. . . .</w:t>
      </w:r>
      <w:proofErr w:type="gramEnd"/>
      <w:r>
        <w:rPr>
          <w:rFonts w:ascii="Arial" w:hAnsi="Arial" w:cs="Arial"/>
          <w:bCs/>
        </w:rPr>
        <w:t xml:space="preserve"> . </w:t>
      </w:r>
    </w:p>
    <w:p w14:paraId="6F5C9982" w14:textId="77777777" w:rsidR="001B61B8" w:rsidRPr="001B61B8" w:rsidRDefault="001B61B8" w:rsidP="001B61B8">
      <w:pPr>
        <w:rPr>
          <w:rFonts w:ascii="Arial" w:hAnsi="Arial" w:cs="Arial"/>
          <w:bCs/>
        </w:rPr>
      </w:pPr>
    </w:p>
    <w:p w14:paraId="4E79F5FB" w14:textId="77777777" w:rsidR="001B61B8" w:rsidRPr="001B61B8" w:rsidRDefault="001B61B8" w:rsidP="008C4747">
      <w:pPr>
        <w:pStyle w:val="Heading2"/>
      </w:pPr>
      <w:r w:rsidRPr="001B61B8">
        <w:t>Policy review</w:t>
      </w:r>
    </w:p>
    <w:p w14:paraId="4EFDDCD0" w14:textId="728E2C5C" w:rsidR="00D26BF8" w:rsidRPr="00926A1F" w:rsidRDefault="00755058" w:rsidP="007641B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Business Rates Technical Officer; review no later than April 2026.</w:t>
      </w:r>
    </w:p>
    <w:sectPr w:rsidR="00D26BF8" w:rsidRPr="00926A1F" w:rsidSect="00926A1F">
      <w:footerReference w:type="even" r:id="rId12"/>
      <w:footerReference w:type="default" r:id="rId13"/>
      <w:pgSz w:w="11906" w:h="16838"/>
      <w:pgMar w:top="737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DDCD5" w14:textId="77777777" w:rsidR="0043788A" w:rsidRDefault="0043788A">
      <w:r>
        <w:separator/>
      </w:r>
    </w:p>
  </w:endnote>
  <w:endnote w:type="continuationSeparator" w:id="0">
    <w:p w14:paraId="4EFDDCD6" w14:textId="77777777" w:rsidR="0043788A" w:rsidRDefault="0043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DCD7" w14:textId="77777777" w:rsidR="0043788A" w:rsidRDefault="005061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78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FDDCD8" w14:textId="77777777" w:rsidR="0043788A" w:rsidRDefault="004378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DCD9" w14:textId="3E22DC3A" w:rsidR="0043788A" w:rsidRPr="00D06093" w:rsidRDefault="00506190">
    <w:pPr>
      <w:pStyle w:val="Footer"/>
      <w:jc w:val="center"/>
      <w:rPr>
        <w:rFonts w:ascii="Arial" w:hAnsi="Arial" w:cs="Arial"/>
        <w:sz w:val="22"/>
        <w:szCs w:val="22"/>
      </w:rPr>
    </w:pPr>
    <w:r w:rsidRPr="00D06093">
      <w:rPr>
        <w:rFonts w:ascii="Arial" w:hAnsi="Arial" w:cs="Arial"/>
        <w:sz w:val="22"/>
        <w:szCs w:val="22"/>
      </w:rPr>
      <w:fldChar w:fldCharType="begin"/>
    </w:r>
    <w:r w:rsidR="0043788A" w:rsidRPr="00D06093">
      <w:rPr>
        <w:rFonts w:ascii="Arial" w:hAnsi="Arial" w:cs="Arial"/>
        <w:sz w:val="22"/>
        <w:szCs w:val="22"/>
      </w:rPr>
      <w:instrText xml:space="preserve"> PAGE   \* MERGEFORMAT </w:instrText>
    </w:r>
    <w:r w:rsidRPr="00D06093">
      <w:rPr>
        <w:rFonts w:ascii="Arial" w:hAnsi="Arial" w:cs="Arial"/>
        <w:sz w:val="22"/>
        <w:szCs w:val="22"/>
      </w:rPr>
      <w:fldChar w:fldCharType="separate"/>
    </w:r>
    <w:r w:rsidR="00755058">
      <w:rPr>
        <w:rFonts w:ascii="Arial" w:hAnsi="Arial" w:cs="Arial"/>
        <w:noProof/>
        <w:sz w:val="22"/>
        <w:szCs w:val="22"/>
      </w:rPr>
      <w:t>4</w:t>
    </w:r>
    <w:r w:rsidRPr="00D06093">
      <w:rPr>
        <w:rFonts w:ascii="Arial" w:hAnsi="Arial" w:cs="Arial"/>
        <w:sz w:val="22"/>
        <w:szCs w:val="22"/>
      </w:rPr>
      <w:fldChar w:fldCharType="end"/>
    </w:r>
  </w:p>
  <w:p w14:paraId="4EFDDCDA" w14:textId="77777777" w:rsidR="0043788A" w:rsidRDefault="004378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DDCD3" w14:textId="77777777" w:rsidR="0043788A" w:rsidRDefault="0043788A">
      <w:r>
        <w:separator/>
      </w:r>
    </w:p>
  </w:footnote>
  <w:footnote w:type="continuationSeparator" w:id="0">
    <w:p w14:paraId="4EFDDCD4" w14:textId="77777777" w:rsidR="0043788A" w:rsidRDefault="00437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D7C7F"/>
    <w:multiLevelType w:val="hybridMultilevel"/>
    <w:tmpl w:val="B82E31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CE633C"/>
    <w:multiLevelType w:val="hybridMultilevel"/>
    <w:tmpl w:val="82321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0D5E32"/>
    <w:multiLevelType w:val="hybridMultilevel"/>
    <w:tmpl w:val="D08065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2B2B56"/>
    <w:multiLevelType w:val="hybridMultilevel"/>
    <w:tmpl w:val="9320AC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032D45"/>
    <w:multiLevelType w:val="hybridMultilevel"/>
    <w:tmpl w:val="99ACEC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0C6B5A"/>
    <w:multiLevelType w:val="hybridMultilevel"/>
    <w:tmpl w:val="FC364EC0"/>
    <w:lvl w:ilvl="0" w:tplc="8086F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A39F6">
      <w:numFmt w:val="none"/>
      <w:lvlText w:val=""/>
      <w:lvlJc w:val="left"/>
      <w:pPr>
        <w:tabs>
          <w:tab w:val="num" w:pos="360"/>
        </w:tabs>
      </w:pPr>
    </w:lvl>
    <w:lvl w:ilvl="2" w:tplc="F042D040">
      <w:numFmt w:val="none"/>
      <w:lvlText w:val=""/>
      <w:lvlJc w:val="left"/>
      <w:pPr>
        <w:tabs>
          <w:tab w:val="num" w:pos="360"/>
        </w:tabs>
      </w:pPr>
    </w:lvl>
    <w:lvl w:ilvl="3" w:tplc="C4F2F41E">
      <w:numFmt w:val="none"/>
      <w:lvlText w:val=""/>
      <w:lvlJc w:val="left"/>
      <w:pPr>
        <w:tabs>
          <w:tab w:val="num" w:pos="360"/>
        </w:tabs>
      </w:pPr>
    </w:lvl>
    <w:lvl w:ilvl="4" w:tplc="BFA258A0">
      <w:numFmt w:val="none"/>
      <w:lvlText w:val=""/>
      <w:lvlJc w:val="left"/>
      <w:pPr>
        <w:tabs>
          <w:tab w:val="num" w:pos="360"/>
        </w:tabs>
      </w:pPr>
    </w:lvl>
    <w:lvl w:ilvl="5" w:tplc="87F8B6CA">
      <w:numFmt w:val="none"/>
      <w:lvlText w:val=""/>
      <w:lvlJc w:val="left"/>
      <w:pPr>
        <w:tabs>
          <w:tab w:val="num" w:pos="360"/>
        </w:tabs>
      </w:pPr>
    </w:lvl>
    <w:lvl w:ilvl="6" w:tplc="D04EF4EE">
      <w:numFmt w:val="none"/>
      <w:lvlText w:val=""/>
      <w:lvlJc w:val="left"/>
      <w:pPr>
        <w:tabs>
          <w:tab w:val="num" w:pos="360"/>
        </w:tabs>
      </w:pPr>
    </w:lvl>
    <w:lvl w:ilvl="7" w:tplc="D7A8C36E">
      <w:numFmt w:val="none"/>
      <w:lvlText w:val=""/>
      <w:lvlJc w:val="left"/>
      <w:pPr>
        <w:tabs>
          <w:tab w:val="num" w:pos="360"/>
        </w:tabs>
      </w:pPr>
    </w:lvl>
    <w:lvl w:ilvl="8" w:tplc="0EC2870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72350C1"/>
    <w:multiLevelType w:val="hybridMultilevel"/>
    <w:tmpl w:val="7B76F5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23396">
    <w:abstractNumId w:val="5"/>
  </w:num>
  <w:num w:numId="2" w16cid:durableId="1589272193">
    <w:abstractNumId w:val="3"/>
  </w:num>
  <w:num w:numId="3" w16cid:durableId="16668573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1770460">
    <w:abstractNumId w:val="1"/>
  </w:num>
  <w:num w:numId="5" w16cid:durableId="1772504603">
    <w:abstractNumId w:val="2"/>
  </w:num>
  <w:num w:numId="6" w16cid:durableId="1686054277">
    <w:abstractNumId w:val="4"/>
  </w:num>
  <w:num w:numId="7" w16cid:durableId="1787305643">
    <w:abstractNumId w:val="0"/>
  </w:num>
  <w:num w:numId="8" w16cid:durableId="1750157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5D"/>
    <w:rsid w:val="00001270"/>
    <w:rsid w:val="00003FFC"/>
    <w:rsid w:val="00027BDE"/>
    <w:rsid w:val="00045915"/>
    <w:rsid w:val="0006411D"/>
    <w:rsid w:val="00071582"/>
    <w:rsid w:val="00075246"/>
    <w:rsid w:val="000819FE"/>
    <w:rsid w:val="00087383"/>
    <w:rsid w:val="00094E89"/>
    <w:rsid w:val="000B2D03"/>
    <w:rsid w:val="000D7B71"/>
    <w:rsid w:val="000F427F"/>
    <w:rsid w:val="00155BFF"/>
    <w:rsid w:val="00173980"/>
    <w:rsid w:val="00180293"/>
    <w:rsid w:val="001A26C3"/>
    <w:rsid w:val="001B61B8"/>
    <w:rsid w:val="00204745"/>
    <w:rsid w:val="00214867"/>
    <w:rsid w:val="00220645"/>
    <w:rsid w:val="00246A12"/>
    <w:rsid w:val="002473F3"/>
    <w:rsid w:val="00260364"/>
    <w:rsid w:val="00260C80"/>
    <w:rsid w:val="00285DF1"/>
    <w:rsid w:val="002923E7"/>
    <w:rsid w:val="002E089A"/>
    <w:rsid w:val="00301308"/>
    <w:rsid w:val="003236B6"/>
    <w:rsid w:val="00365FBC"/>
    <w:rsid w:val="003B3BA1"/>
    <w:rsid w:val="003D1491"/>
    <w:rsid w:val="003F4F95"/>
    <w:rsid w:val="003F562A"/>
    <w:rsid w:val="0043788A"/>
    <w:rsid w:val="0049267D"/>
    <w:rsid w:val="004C6534"/>
    <w:rsid w:val="004D07E2"/>
    <w:rsid w:val="00505224"/>
    <w:rsid w:val="00506190"/>
    <w:rsid w:val="005602A2"/>
    <w:rsid w:val="005762F1"/>
    <w:rsid w:val="005B3E27"/>
    <w:rsid w:val="005D17C7"/>
    <w:rsid w:val="00620CA4"/>
    <w:rsid w:val="00622211"/>
    <w:rsid w:val="00652EFC"/>
    <w:rsid w:val="00682DB6"/>
    <w:rsid w:val="0068350C"/>
    <w:rsid w:val="00687B41"/>
    <w:rsid w:val="00697E68"/>
    <w:rsid w:val="006D3E55"/>
    <w:rsid w:val="006F1D30"/>
    <w:rsid w:val="006F1EA7"/>
    <w:rsid w:val="006F26A8"/>
    <w:rsid w:val="00704E8F"/>
    <w:rsid w:val="00727F1D"/>
    <w:rsid w:val="00745756"/>
    <w:rsid w:val="00755058"/>
    <w:rsid w:val="00757768"/>
    <w:rsid w:val="007641B4"/>
    <w:rsid w:val="00782CEA"/>
    <w:rsid w:val="00827504"/>
    <w:rsid w:val="00843A80"/>
    <w:rsid w:val="00852A09"/>
    <w:rsid w:val="00860538"/>
    <w:rsid w:val="00874771"/>
    <w:rsid w:val="008877A6"/>
    <w:rsid w:val="008922D5"/>
    <w:rsid w:val="00896325"/>
    <w:rsid w:val="008C4747"/>
    <w:rsid w:val="008C761B"/>
    <w:rsid w:val="008E01A3"/>
    <w:rsid w:val="00926A1F"/>
    <w:rsid w:val="0097544C"/>
    <w:rsid w:val="009A7656"/>
    <w:rsid w:val="009D3E2A"/>
    <w:rsid w:val="00A676BB"/>
    <w:rsid w:val="00A71FEE"/>
    <w:rsid w:val="00A804EF"/>
    <w:rsid w:val="00A9645B"/>
    <w:rsid w:val="00AA0695"/>
    <w:rsid w:val="00AD7DBB"/>
    <w:rsid w:val="00AE1BA5"/>
    <w:rsid w:val="00B27AEA"/>
    <w:rsid w:val="00B62EA4"/>
    <w:rsid w:val="00B9458C"/>
    <w:rsid w:val="00BF0635"/>
    <w:rsid w:val="00C04F18"/>
    <w:rsid w:val="00C07FAE"/>
    <w:rsid w:val="00C12256"/>
    <w:rsid w:val="00C42A67"/>
    <w:rsid w:val="00C612E8"/>
    <w:rsid w:val="00C902AA"/>
    <w:rsid w:val="00CC1917"/>
    <w:rsid w:val="00CF7B16"/>
    <w:rsid w:val="00D032E3"/>
    <w:rsid w:val="00D06093"/>
    <w:rsid w:val="00D26BF8"/>
    <w:rsid w:val="00D43FAA"/>
    <w:rsid w:val="00D44C63"/>
    <w:rsid w:val="00D8494E"/>
    <w:rsid w:val="00D90C32"/>
    <w:rsid w:val="00D95A35"/>
    <w:rsid w:val="00D978CC"/>
    <w:rsid w:val="00DB6D43"/>
    <w:rsid w:val="00DC4D3E"/>
    <w:rsid w:val="00DE2C5D"/>
    <w:rsid w:val="00E15297"/>
    <w:rsid w:val="00EB7D3D"/>
    <w:rsid w:val="00EC38AB"/>
    <w:rsid w:val="00F072FC"/>
    <w:rsid w:val="00F8657C"/>
    <w:rsid w:val="00FA5F01"/>
    <w:rsid w:val="00FB4DDF"/>
    <w:rsid w:val="00FD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4EFDDC48"/>
  <w15:docId w15:val="{28AEA31B-6E68-480A-9056-3D293494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A8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57C"/>
    <w:pPr>
      <w:keepNext/>
      <w:keepLines/>
      <w:spacing w:before="240"/>
      <w:outlineLvl w:val="0"/>
    </w:pPr>
    <w:rPr>
      <w:rFonts w:ascii="Arial" w:eastAsiaTheme="majorEastAsia" w:hAnsi="Arial" w:cs="Arial"/>
      <w:sz w:val="44"/>
      <w:szCs w:val="44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F8657C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A80"/>
    <w:pPr>
      <w:jc w:val="center"/>
    </w:pPr>
    <w:rPr>
      <w:sz w:val="28"/>
    </w:rPr>
  </w:style>
  <w:style w:type="paragraph" w:styleId="Footer">
    <w:name w:val="footer"/>
    <w:basedOn w:val="Normal"/>
    <w:link w:val="FooterChar"/>
    <w:uiPriority w:val="99"/>
    <w:rsid w:val="00843A8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43A80"/>
  </w:style>
  <w:style w:type="paragraph" w:styleId="Header">
    <w:name w:val="header"/>
    <w:basedOn w:val="Normal"/>
    <w:link w:val="HeaderChar"/>
    <w:uiPriority w:val="99"/>
    <w:semiHidden/>
    <w:unhideWhenUsed/>
    <w:rsid w:val="008275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504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2750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B4D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A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09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52A09"/>
    <w:rPr>
      <w:color w:val="808080"/>
    </w:rPr>
  </w:style>
  <w:style w:type="character" w:customStyle="1" w:styleId="TitleChar">
    <w:name w:val="Title Char"/>
    <w:basedOn w:val="DefaultParagraphFont"/>
    <w:link w:val="Title"/>
    <w:rsid w:val="00727F1D"/>
    <w:rPr>
      <w:sz w:val="28"/>
      <w:szCs w:val="24"/>
      <w:lang w:eastAsia="en-US"/>
    </w:rPr>
  </w:style>
  <w:style w:type="table" w:styleId="TableGrid">
    <w:name w:val="Table Grid"/>
    <w:basedOn w:val="TableNormal"/>
    <w:uiPriority w:val="59"/>
    <w:rsid w:val="008877A6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657C"/>
    <w:rPr>
      <w:rFonts w:ascii="Arial" w:eastAsiaTheme="majorEastAsia" w:hAnsi="Arial" w:cs="Arial"/>
      <w:sz w:val="44"/>
      <w:szCs w:val="4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57C"/>
    <w:rPr>
      <w:rFonts w:ascii="Arial" w:hAnsi="Arial" w:cs="Arial"/>
      <w:b/>
      <w:bCs/>
      <w:color w:val="000000"/>
    </w:rPr>
  </w:style>
  <w:style w:type="character" w:customStyle="1" w:styleId="SubtitleChar">
    <w:name w:val="Subtitle Char"/>
    <w:basedOn w:val="DefaultParagraphFont"/>
    <w:link w:val="Subtitle"/>
    <w:uiPriority w:val="11"/>
    <w:rsid w:val="00F8657C"/>
    <w:rPr>
      <w:rFonts w:ascii="Arial" w:hAnsi="Arial" w:cs="Arial"/>
      <w:b/>
      <w:bCs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8657C"/>
    <w:rPr>
      <w:rFonts w:ascii="Arial" w:hAnsi="Arial" w:cs="Arial"/>
      <w:b/>
      <w:bCs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B62E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astdevon.gov.uk/council-and-democracy/council-business/our-plans/council-pla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rotect_x0020_Flag xmlns="1e9e8d3c-47e9-42d8-b30e-5e6f0a80173b">UNCLASSIFIED</Protect_x0020_Flag>
    <theme2 xmlns="1e9e8d3c-47e9-42d8-b30e-5e6f0a80173b">
      <Value>Communication Routes</Value>
      <Value>Managers Guidance</Value>
    </theme2>
    <Archive_x0020_Flag xmlns="1e9e8d3c-47e9-42d8-b30e-5e6f0a80173b">No</Archive_x0020_Flag>
    <Archive_x0020_After_x0020_Date xmlns="1e9e8d3c-47e9-42d8-b30e-5e6f0a80173b" xsi:nil="true"/>
    <EDDC_x0020_Service xmlns="1e9e8d3c-47e9-42d8-b30e-5e6f0a80173b">OD</EDDC_x0020_Service>
    <Description xmlns="4c92616b-3f4e-44b8-8578-0a43d518952e">This template should be used when drafting Council policies and strategies</Description>
    <ReviewDateDescription xmlns="1e9e8d3c-47e9-42d8-b30e-5e6f0a80173b" xsi:nil="true"/>
    <Review_x0020_Date xmlns="1e9e8d3c-47e9-42d8-b30e-5e6f0a80173b">2016-03-31T23:00:00+00:00</Review_x0020_Date>
    <PersonResponsible xmlns="1e9e8d3c-47e9-42d8-b30e-5e6f0a80173b">Karen Jenkins</PersonResponsible>
    <Front_x0020_page xmlns="1e9e8d3c-47e9-42d8-b30e-5e6f0a80173b">No</Front_x0020_page>
    <WorkArea xmlns="1e9e8d3c-47e9-42d8-b30e-5e6f0a80173b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DC Policy" ma:contentTypeID="0x01010074D55BC4496A064AB16870EAF57424B00600486FA715E8BE3743A141F9C04F551667" ma:contentTypeVersion="44" ma:contentTypeDescription="" ma:contentTypeScope="" ma:versionID="935d9122436f3510174321d38e8d116f">
  <xsd:schema xmlns:xsd="http://www.w3.org/2001/XMLSchema" xmlns:p="http://schemas.microsoft.com/office/2006/metadata/properties" xmlns:ns2="1e9e8d3c-47e9-42d8-b30e-5e6f0a80173b" xmlns:ns4="4c92616b-3f4e-44b8-8578-0a43d518952e" targetNamespace="http://schemas.microsoft.com/office/2006/metadata/properties" ma:root="true" ma:fieldsID="04127bfb42e3d6038ef86bd2de52b6f3" ns2:_="" ns4:_="">
    <xsd:import namespace="1e9e8d3c-47e9-42d8-b30e-5e6f0a80173b"/>
    <xsd:import namespace="4c92616b-3f4e-44b8-8578-0a43d518952e"/>
    <xsd:element name="properties">
      <xsd:complexType>
        <xsd:sequence>
          <xsd:element name="documentManagement">
            <xsd:complexType>
              <xsd:all>
                <xsd:element ref="ns2:Archive_x0020_Flag"/>
                <xsd:element ref="ns2:Protect_x0020_Flag"/>
                <xsd:element ref="ns2:Archive_x0020_After_x0020_Date" minOccurs="0"/>
                <xsd:element ref="ns4:Description"/>
                <xsd:element ref="ns2:theme2" minOccurs="0"/>
                <xsd:element ref="ns2:EDDC_x0020_Service" minOccurs="0"/>
                <xsd:element ref="ns2:Review_x0020_Date"/>
                <xsd:element ref="ns2:PersonResponsible"/>
                <xsd:element ref="ns2:ReviewDateDescription" minOccurs="0"/>
                <xsd:element ref="ns2:Front_x0020_page" minOccurs="0"/>
                <xsd:element ref="ns2:Work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e9e8d3c-47e9-42d8-b30e-5e6f0a80173b" elementFormDefault="qualified">
    <xsd:import namespace="http://schemas.microsoft.com/office/2006/documentManagement/types"/>
    <xsd:element name="Archive_x0020_Flag" ma:index="8" ma:displayName="Archive Flag" ma:default="No" ma:format="RadioButtons" ma:internalName="Archive_x0020_Flag" ma:readOnly="false">
      <xsd:simpleType>
        <xsd:restriction base="dms:Choice">
          <xsd:enumeration value="Yes"/>
          <xsd:enumeration value="No"/>
        </xsd:restriction>
      </xsd:simpleType>
    </xsd:element>
    <xsd:element name="Protect_x0020_Flag" ma:index="10" ma:displayName="CoCo Protective Flag" ma:default="UNCLASSIFIED" ma:description="Code of Connection protection status - if anything BUT UNCLASSIFIED then please consider why it is going on the intranet." ma:format="RadioButtons" ma:internalName="Protect_x0020_Flag" ma:readOnly="false">
      <xsd:simpleType>
        <xsd:restriction base="dms:Choice">
          <xsd:enumeration value="UNCLASSIFIED"/>
          <xsd:enumeration value="PROTECT"/>
          <xsd:enumeration value="RESTRICTED"/>
        </xsd:restriction>
      </xsd:simpleType>
    </xsd:element>
    <xsd:element name="Archive_x0020_After_x0020_Date" ma:index="11" nillable="true" ma:displayName="Archive After Date" ma:format="DateOnly" ma:internalName="Archive_x0020_After_x0020_Date">
      <xsd:simpleType>
        <xsd:restriction base="dms:DateTime"/>
      </xsd:simpleType>
    </xsd:element>
    <xsd:element name="theme2" ma:index="13" nillable="true" ma:displayName="Theme" ma:internalName="theme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hieving Performance Excellence"/>
                    <xsd:enumeration value="Communication Routes"/>
                    <xsd:enumeration value="Happy Healthy Here"/>
                    <xsd:enumeration value="IIP"/>
                    <xsd:enumeration value="Learning &amp; Development"/>
                    <xsd:enumeration value="Leave"/>
                    <xsd:enumeration value="Managers Guidance"/>
                    <xsd:enumeration value="Pay &amp; Benefits"/>
                    <xsd:enumeration value="Pensions"/>
                    <xsd:enumeration value="People Data"/>
                    <xsd:enumeration value="Recruitment"/>
                    <xsd:enumeration value="Welcome for new employees"/>
                  </xsd:restriction>
                </xsd:simpleType>
              </xsd:element>
            </xsd:sequence>
          </xsd:extension>
        </xsd:complexContent>
      </xsd:complexType>
    </xsd:element>
    <xsd:element name="EDDC_x0020_Service" ma:index="14" nillable="true" ma:displayName="Service" ma:format="Dropdown" ma:internalName="EDDC_x0020_Service" ma:readOnly="false">
      <xsd:simpleType>
        <xsd:restriction base="dms:Choice">
          <xsd:enumeration value="ICT"/>
          <xsd:enumeration value="OD"/>
          <xsd:enumeration value="Street Scene"/>
          <xsd:enumeration value="Environmental Health"/>
          <xsd:enumeration value="Councilwide"/>
          <xsd:enumeration value="Legal"/>
          <xsd:enumeration value="Finance"/>
          <xsd:enumeration value="Audit"/>
          <xsd:enumeration value="Housing"/>
        </xsd:restriction>
      </xsd:simpleType>
    </xsd:element>
    <xsd:element name="Review_x0020_Date" ma:index="15" ma:displayName="Review Date" ma:description="If no set date enter 01/01/1999 and then enter a descriptive version" ma:format="DateOnly" ma:internalName="Review_x0020_Date" ma:readOnly="false">
      <xsd:simpleType>
        <xsd:restriction base="dms:DateTime"/>
      </xsd:simpleType>
    </xsd:element>
    <xsd:element name="PersonResponsible" ma:index="16" ma:displayName="PersonResponsible" ma:internalName="PersonResponsible" ma:readOnly="false">
      <xsd:simpleType>
        <xsd:restriction base="dms:Text">
          <xsd:maxLength value="255"/>
        </xsd:restriction>
      </xsd:simpleType>
    </xsd:element>
    <xsd:element name="ReviewDateDescription" ma:index="17" nillable="true" ma:displayName="ReviewDateDescription" ma:description="Where there is no review date set - just a description" ma:internalName="ReviewDateDescription">
      <xsd:simpleType>
        <xsd:restriction base="dms:Text">
          <xsd:maxLength value="255"/>
        </xsd:restriction>
      </xsd:simpleType>
    </xsd:element>
    <xsd:element name="Front_x0020_page" ma:index="19" nillable="true" ma:displayName="Front page" ma:default="No" ma:format="Dropdown" ma:internalName="Front_x0020_page">
      <xsd:simpleType>
        <xsd:restriction base="dms:Choice">
          <xsd:enumeration value="Yes"/>
          <xsd:enumeration value="No"/>
        </xsd:restriction>
      </xsd:simpleType>
    </xsd:element>
    <xsd:element name="WorkArea" ma:index="20" nillable="true" ma:displayName="WorkArea" ma:description="Audit wanted a &quot;health and Safety&quot; Policy listing.  This is added to achieve that" ma:internalName="Work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 and Safet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4c92616b-3f4e-44b8-8578-0a43d518952e" elementFormDefault="qualified">
    <xsd:import namespace="http://schemas.microsoft.com/office/2006/documentManagement/types"/>
    <xsd:element name="Description" ma:index="12" ma:displayName="Description" ma:description="A sentence or two describing the document - this will get used on the Front Page and certain other lists." ma:internalName="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 ma:index="18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F4EE829-1935-4E3D-8D7D-95530B07B8B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9FD3383-D2CF-418D-9096-9D45D50D6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7E69B-3D4F-4219-A21B-1B451DB60126}">
  <ds:schemaRefs>
    <ds:schemaRef ds:uri="http://schemas.openxmlformats.org/package/2006/metadata/core-properties"/>
    <ds:schemaRef ds:uri="4c92616b-3f4e-44b8-8578-0a43d518952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1e9e8d3c-47e9-42d8-b30e-5e6f0a80173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9A1400-21AC-4725-AA91-1B87AC39C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e8d3c-47e9-42d8-b30e-5e6f0a80173b"/>
    <ds:schemaRef ds:uri="4c92616b-3f4e-44b8-8578-0a43d518952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932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 (including procedure for approval)</vt:lpstr>
    </vt:vector>
  </TitlesOfParts>
  <Company>SSDC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Template (including procedure for approval)</dc:title>
  <dc:subject/>
  <dc:creator>SSDC</dc:creator>
  <cp:keywords>Policy strategy template</cp:keywords>
  <cp:lastModifiedBy>Neil Smith</cp:lastModifiedBy>
  <cp:revision>2</cp:revision>
  <cp:lastPrinted>2010-06-22T08:04:00Z</cp:lastPrinted>
  <dcterms:created xsi:type="dcterms:W3CDTF">2025-01-23T16:20:00Z</dcterms:created>
  <dcterms:modified xsi:type="dcterms:W3CDTF">2025-01-23T16:20:00Z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EDDC Form</vt:lpwstr>
  </property>
  <property fmtid="{D5CDD505-2E9C-101B-9397-08002B2CF9AE}" pid="3" name="ContentTypeId">
    <vt:lpwstr>0x01010074D55BC4496A064AB16870EAF57424B00600486FA715E8BE3743A141F9C04F551667</vt:lpwstr>
  </property>
</Properties>
</file>